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-270" w:firstLine="0"/>
        <w:contextualSpacing w:val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7ui1tn1q52ib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Pine View Middle School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Plan for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College &amp; Career Readiness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(CCR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965200" cy="904875"/>
            <wp:effectExtent b="0" l="0" r="0" t="0"/>
            <wp:wrapSquare wrapText="bothSides" distB="0" distT="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-270" w:firstLine="0"/>
        <w:contextualSpacing w:val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yr. Plan)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http://pvmscounseling.weebly.com/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Date: ________ Name: ______________________ Parent Signature:_______________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Occupational Goal: ___________________________________ College/University/Tech School: ___________________</w:t>
      </w:r>
    </w:p>
    <w:p w:rsidR="00000000" w:rsidDel="00000000" w:rsidP="00000000" w:rsidRDefault="00000000" w:rsidRPr="00000000">
      <w:pPr>
        <w:tabs>
          <w:tab w:val="left" w:pos="7650"/>
        </w:tabs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0.0" w:type="dxa"/>
        <w:tblLayout w:type="fixed"/>
        <w:tblLook w:val="0000"/>
      </w:tblPr>
      <w:tblGrid>
        <w:gridCol w:w="2960"/>
        <w:gridCol w:w="1980"/>
        <w:gridCol w:w="620"/>
        <w:gridCol w:w="1980"/>
        <w:gridCol w:w="620"/>
        <w:gridCol w:w="1980"/>
        <w:gridCol w:w="620"/>
        <w:gridCol w:w="2160"/>
        <w:gridCol w:w="620"/>
        <w:gridCol w:w="1030"/>
        <w:tblGridChange w:id="0">
          <w:tblGrid>
            <w:gridCol w:w="2960"/>
            <w:gridCol w:w="1980"/>
            <w:gridCol w:w="620"/>
            <w:gridCol w:w="1980"/>
            <w:gridCol w:w="620"/>
            <w:gridCol w:w="1980"/>
            <w:gridCol w:w="620"/>
            <w:gridCol w:w="2160"/>
            <w:gridCol w:w="620"/>
            <w:gridCol w:w="103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40"/>
              </w:tabs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Subject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right" w:pos="234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20"/>
              </w:tabs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right" w:pos="234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20"/>
              </w:tabs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right" w:pos="234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20"/>
              </w:tabs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right" w:pos="234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600"/>
              </w:tabs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Total Credit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ab/>
              <w:t xml:space="preserve">Language Arts</w:t>
            </w:r>
          </w:p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(4 minimum)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Language Arts  9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Language Arts 10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Language Arts 11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Language Arts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Math   (3)</w:t>
            </w:r>
          </w:p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(Secondary Math &amp;  higher)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(College Bound)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ind w:left="450" w:hanging="45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Science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Earth Science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Social Studies (3.0)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World Geography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World Civilization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US. Studies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US. Gov./ Citizenship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Healthy Lifestyles (2)</w:t>
            </w:r>
          </w:p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(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0.5 Health / 1.5 PE.)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Physical Skills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Fitness for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Health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Fine Arts  (1.5)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CTE   (1)</w:t>
            </w:r>
          </w:p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(Career &amp; Technical Ed.)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Business Office  (.5)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Business Office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5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Financial Literacy (.5)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Financial 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40"/>
              </w:tabs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Electives (14)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 Aspire Prep Test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 Test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***ASVAB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tabs>
                <w:tab w:val="left" w:pos="440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Total Credits    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de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7762875</wp:posOffset>
            </wp:positionH>
            <wp:positionV relativeFrom="paragraph">
              <wp:posOffset>133350</wp:posOffset>
            </wp:positionV>
            <wp:extent cx="1658620" cy="1438275"/>
            <wp:effectExtent b="0" l="0" r="0" t="0"/>
            <wp:wrapSquare wrapText="bothSides" distB="0" distT="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Utah Scholars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NCAA Eligibility Requirements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ab/>
        <w:t xml:space="preserve">     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CTE / Technical School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                  </w:t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360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18"/>
          <w:szCs w:val="18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000000"/>
            <w:sz w:val="20"/>
            <w:szCs w:val="20"/>
            <w:u w:val="single"/>
            <w:rtl w:val="0"/>
          </w:rPr>
          <w:t xml:space="preserve">http://www.utahscholars.org/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ab/>
        <w:tab/>
      </w:r>
      <w:hyperlink r:id="rId9">
        <w:r w:rsidDel="00000000" w:rsidR="00000000" w:rsidRPr="00000000">
          <w:rPr>
            <w:rFonts w:ascii="Cambria" w:cs="Cambria" w:eastAsia="Cambria" w:hAnsi="Cambria"/>
            <w:color w:val="000000"/>
            <w:sz w:val="18"/>
            <w:szCs w:val="18"/>
            <w:u w:val="single"/>
            <w:rtl w:val="0"/>
          </w:rPr>
          <w:t xml:space="preserve">http://web1.ncaa.org/ECWR2/NCAA_EMS/NCAA_EMS.html#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ab/>
        <w:t xml:space="preserve">Go to - CTE Pathways -</w:t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4 Language Arts</w:t>
        <w:tab/>
        <w:t xml:space="preserve">  4 English (Language Arts)  </w:t>
        <w:tab/>
        <w:tab/>
        <w:tab/>
      </w:r>
      <w:hyperlink r:id="rId10">
        <w:r w:rsidDel="00000000" w:rsidR="00000000" w:rsidRPr="00000000">
          <w:rPr>
            <w:rFonts w:ascii="Cambria" w:cs="Cambria" w:eastAsia="Cambria" w:hAnsi="Cambria"/>
            <w:color w:val="000000"/>
            <w:sz w:val="18"/>
            <w:szCs w:val="18"/>
            <w:u w:val="single"/>
            <w:rtl w:val="0"/>
          </w:rPr>
          <w:t xml:space="preserve">http://schools.utah.gov/cte/pathways.html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4 Math </w:t>
        <w:tab/>
        <w:tab/>
        <w:t xml:space="preserve">3 Math (Algebra I or higher)  </w:t>
        <w:tab/>
        <w:tab/>
        <w:tab/>
      </w:r>
      <w:hyperlink r:id="rId11">
        <w:r w:rsidDel="00000000" w:rsidR="00000000" w:rsidRPr="00000000">
          <w:rPr>
            <w:rFonts w:ascii="Cambria" w:cs="Cambria" w:eastAsia="Cambria" w:hAnsi="Cambria"/>
            <w:color w:val="000000"/>
            <w:sz w:val="20"/>
            <w:szCs w:val="20"/>
            <w:u w:val="single"/>
            <w:rtl w:val="0"/>
          </w:rPr>
          <w:t xml:space="preserve">https://utahfutures.org/Portal.aspx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3 Science (Lab-based)</w:t>
        <w:tab/>
        <w:tab/>
        <w:t xml:space="preserve">2 Science (one must be a lab science)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3.5 Social Studies </w:t>
        <w:tab/>
        <w:tab/>
        <w:t xml:space="preserve">2 Social Studies                                        </w:t>
        <w:tab/>
        <w:t xml:space="preserve">ACT Website: </w:t>
      </w:r>
      <w:hyperlink r:id="rId12">
        <w:r w:rsidDel="00000000" w:rsidR="00000000" w:rsidRPr="00000000">
          <w:rPr>
            <w:rFonts w:ascii="Cambria" w:cs="Cambria" w:eastAsia="Cambria" w:hAnsi="Cambria"/>
            <w:color w:val="000000"/>
            <w:sz w:val="18"/>
            <w:szCs w:val="18"/>
            <w:u w:val="single"/>
            <w:rtl w:val="0"/>
          </w:rPr>
          <w:t xml:space="preserve">www.actstudents.org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2 Foreign Language</w:t>
        <w:tab/>
        <w:t xml:space="preserve">  </w:t>
        <w:tab/>
        <w:t xml:space="preserve">1 year of additional English, math or science    </w:t>
        <w:tab/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ab/>
        <w:tab/>
        <w:tab/>
        <w:t xml:space="preserve">4 Years of additional core courses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*** 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(Armed Services Voc. Aptitude Battery)</w:t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Notes: </w:t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420"/>
          <w:tab w:val="left" w:pos="5400"/>
          <w:tab w:val="left" w:pos="6480"/>
          <w:tab w:val="left" w:pos="6840"/>
          <w:tab w:val="left" w:pos="8550"/>
          <w:tab w:val="left" w:pos="10710"/>
        </w:tabs>
        <w:contextualSpacing w:val="0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____________________________________________________________________________________________________________________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600"/>
          <w:tab w:val="left" w:pos="6480"/>
          <w:tab w:val="left" w:pos="6840"/>
          <w:tab w:val="left" w:pos="10080"/>
          <w:tab w:val="left" w:pos="10440"/>
          <w:tab w:val="left" w:pos="1071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600"/>
          <w:tab w:val="left" w:pos="6480"/>
          <w:tab w:val="left" w:pos="6840"/>
          <w:tab w:val="left" w:pos="10080"/>
          <w:tab w:val="left" w:pos="10440"/>
          <w:tab w:val="left" w:pos="1071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  <w:tab/>
      </w:r>
    </w:p>
    <w:p w:rsidR="00000000" w:rsidDel="00000000" w:rsidP="00000000" w:rsidRDefault="00000000" w:rsidRPr="00000000">
      <w:pPr>
        <w:tabs>
          <w:tab w:val="left" w:pos="360"/>
          <w:tab w:val="left" w:pos="3240"/>
          <w:tab w:val="left" w:pos="3600"/>
          <w:tab w:val="left" w:pos="6480"/>
          <w:tab w:val="left" w:pos="6840"/>
          <w:tab w:val="left" w:pos="10080"/>
          <w:tab w:val="left" w:pos="10440"/>
        </w:tabs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1440"/>
          <w:tab w:val="left" w:pos="1530"/>
          <w:tab w:val="left" w:pos="2880"/>
          <w:tab w:val="center" w:pos="2970"/>
          <w:tab w:val="left" w:pos="3600"/>
          <w:tab w:val="left" w:pos="4140"/>
          <w:tab w:val="left" w:pos="4320"/>
          <w:tab w:val="left" w:pos="5670"/>
          <w:tab w:val="center" w:pos="5760"/>
          <w:tab w:val="left" w:pos="6390"/>
          <w:tab w:val="left" w:pos="6570"/>
          <w:tab w:val="left" w:pos="6660"/>
          <w:tab w:val="left" w:pos="7110"/>
          <w:tab w:val="left" w:pos="7650"/>
          <w:tab w:val="left" w:pos="7830"/>
          <w:tab w:val="left" w:pos="9090"/>
          <w:tab w:val="center" w:pos="9630"/>
          <w:tab w:val="center" w:pos="11700"/>
        </w:tabs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  <w:tab w:val="left" w:pos="1530"/>
          <w:tab w:val="left" w:pos="2880"/>
          <w:tab w:val="center" w:pos="2970"/>
          <w:tab w:val="left" w:pos="3600"/>
          <w:tab w:val="left" w:pos="4140"/>
          <w:tab w:val="left" w:pos="4320"/>
          <w:tab w:val="left" w:pos="5670"/>
          <w:tab w:val="center" w:pos="5760"/>
          <w:tab w:val="left" w:pos="6390"/>
          <w:tab w:val="left" w:pos="6570"/>
          <w:tab w:val="left" w:pos="6660"/>
          <w:tab w:val="left" w:pos="7110"/>
          <w:tab w:val="left" w:pos="7650"/>
          <w:tab w:val="left" w:pos="7830"/>
          <w:tab w:val="left" w:pos="9090"/>
          <w:tab w:val="center" w:pos="9630"/>
          <w:tab w:val="center" w:pos="11700"/>
        </w:tabs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4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390"/>
        <w:gridCol w:w="6060"/>
        <w:tblGridChange w:id="0">
          <w:tblGrid>
            <w:gridCol w:w="9390"/>
            <w:gridCol w:w="6060"/>
          </w:tblGrid>
        </w:tblGridChange>
      </w:tblGrid>
      <w:tr>
        <w:trPr>
          <w:trHeight w:val="12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114300" distT="114300" distL="114300" distR="114300">
                  <wp:extent cx="5857875" cy="748665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7486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Next Step Research Tools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College Information/Planning: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Utah Futures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https://utahfutures.org/choosing/school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College Board </w:t>
              <w:tab/>
              <w:t xml:space="preserve">                      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https://bigfuture.collegeboard.org/?navId=www-cp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Utah Colleges and Universities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https://www.utah.gov/education/colleges.html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Step Up Utah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https://stepuputah.com/grade/8th-grade/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Scholarships/Financial Aid: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Financial Aid, Scholarships, and Students Loans 101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https://lendedu.com/blog/financial-aid-scholarships-student-loans-101-course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Washington County School District Scholarship Directory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http://secondaryed.temp.washk12.org/academics/scholarships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College Board Scholarship Search Engine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https://bigfuture.collegeboard.org/scholarship-search#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FastWeb Scholarship Search Engine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https://www.fastweb.com/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Step Up Utah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https://stepuputah.com/paying-for-college/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Career Exploration: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O*Net Interest Profiler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https://www.mynextmove.org/explore/ip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Utah Futures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https://utahfutures.org/middle-school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Testing Information: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is the ACT and why is it important?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https://www.princetonreview.com/college/act-information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ACT FAQ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http://www.act.org/content/act/en/products-and-services/the-act/help.html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ind w:left="720" w:hanging="360"/>
              <w:contextualSpacing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SAGE Testing General Information</w:t>
              <w:tab/>
              <w:tab/>
              <w:t xml:space="preserve">       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http://sageportal.org/resources/?section=1-general-family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40"/>
                <w:tab w:val="left" w:pos="1530"/>
                <w:tab w:val="left" w:pos="2880"/>
                <w:tab w:val="center" w:pos="2970"/>
                <w:tab w:val="left" w:pos="3600"/>
                <w:tab w:val="left" w:pos="4140"/>
                <w:tab w:val="left" w:pos="4320"/>
                <w:tab w:val="left" w:pos="5670"/>
                <w:tab w:val="center" w:pos="5760"/>
                <w:tab w:val="left" w:pos="6390"/>
                <w:tab w:val="left" w:pos="6570"/>
                <w:tab w:val="left" w:pos="6660"/>
                <w:tab w:val="left" w:pos="7110"/>
                <w:tab w:val="left" w:pos="7650"/>
                <w:tab w:val="left" w:pos="7830"/>
                <w:tab w:val="left" w:pos="9090"/>
                <w:tab w:val="center" w:pos="9630"/>
                <w:tab w:val="center" w:pos="11700"/>
              </w:tabs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440"/>
          <w:tab w:val="left" w:pos="1530"/>
          <w:tab w:val="left" w:pos="2880"/>
          <w:tab w:val="center" w:pos="2970"/>
          <w:tab w:val="left" w:pos="3600"/>
          <w:tab w:val="left" w:pos="4140"/>
          <w:tab w:val="left" w:pos="4320"/>
          <w:tab w:val="left" w:pos="5670"/>
          <w:tab w:val="center" w:pos="5760"/>
          <w:tab w:val="left" w:pos="6390"/>
          <w:tab w:val="left" w:pos="6570"/>
          <w:tab w:val="left" w:pos="6660"/>
          <w:tab w:val="left" w:pos="7110"/>
          <w:tab w:val="left" w:pos="7650"/>
          <w:tab w:val="left" w:pos="7830"/>
          <w:tab w:val="left" w:pos="9090"/>
          <w:tab w:val="center" w:pos="9630"/>
          <w:tab w:val="center" w:pos="11700"/>
        </w:tabs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270" w:top="18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omic Sans MS"/>
  <w:font w:name="Cambria"/>
  <w:font w:name="New Yor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gfuture.collegeboard.org/scholarship-search#" TargetMode="External"/><Relationship Id="rId22" Type="http://schemas.openxmlformats.org/officeDocument/2006/relationships/hyperlink" Target="https://stepuputah.com/paying-for-college/" TargetMode="External"/><Relationship Id="rId21" Type="http://schemas.openxmlformats.org/officeDocument/2006/relationships/hyperlink" Target="https://www.fastweb.com/" TargetMode="External"/><Relationship Id="rId24" Type="http://schemas.openxmlformats.org/officeDocument/2006/relationships/hyperlink" Target="https://utahfutures.org/middle-school" TargetMode="External"/><Relationship Id="rId23" Type="http://schemas.openxmlformats.org/officeDocument/2006/relationships/hyperlink" Target="https://www.mynextmove.org/explore/i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eb1.ncaa.org/ECWR2/NCAA_EMS/NCAA_EMS.html" TargetMode="External"/><Relationship Id="rId26" Type="http://schemas.openxmlformats.org/officeDocument/2006/relationships/hyperlink" Target="http://www.act.org/content/act/en/products-and-services/the-act/help.html" TargetMode="External"/><Relationship Id="rId25" Type="http://schemas.openxmlformats.org/officeDocument/2006/relationships/hyperlink" Target="https://www.princetonreview.com/college/act-information" TargetMode="External"/><Relationship Id="rId27" Type="http://schemas.openxmlformats.org/officeDocument/2006/relationships/hyperlink" Target="http://sageportal.org/resources/?section=1-general-family" TargetMode="External"/><Relationship Id="rId5" Type="http://schemas.openxmlformats.org/officeDocument/2006/relationships/image" Target="media/image4.png"/><Relationship Id="rId6" Type="http://schemas.openxmlformats.org/officeDocument/2006/relationships/hyperlink" Target="http://pvmscounseling.weebly.com/" TargetMode="External"/><Relationship Id="rId7" Type="http://schemas.openxmlformats.org/officeDocument/2006/relationships/image" Target="media/image5.png"/><Relationship Id="rId8" Type="http://schemas.openxmlformats.org/officeDocument/2006/relationships/hyperlink" Target="http://www.utahscholars.org/" TargetMode="External"/><Relationship Id="rId11" Type="http://schemas.openxmlformats.org/officeDocument/2006/relationships/hyperlink" Target="https://utahfutures.org/Portal.aspx" TargetMode="External"/><Relationship Id="rId10" Type="http://schemas.openxmlformats.org/officeDocument/2006/relationships/hyperlink" Target="http://schools.utah.gov/cte/pathways.html" TargetMode="External"/><Relationship Id="rId13" Type="http://schemas.openxmlformats.org/officeDocument/2006/relationships/image" Target="media/image6.png"/><Relationship Id="rId12" Type="http://schemas.openxmlformats.org/officeDocument/2006/relationships/hyperlink" Target="http://www.actstudents.org" TargetMode="External"/><Relationship Id="rId15" Type="http://schemas.openxmlformats.org/officeDocument/2006/relationships/hyperlink" Target="https://bigfuture.collegeboard.org/?navId=www-cp" TargetMode="External"/><Relationship Id="rId14" Type="http://schemas.openxmlformats.org/officeDocument/2006/relationships/hyperlink" Target="https://utahfutures.org/choosing/school" TargetMode="External"/><Relationship Id="rId17" Type="http://schemas.openxmlformats.org/officeDocument/2006/relationships/hyperlink" Target="https://stepuputah.com/grade/8th-grade/" TargetMode="External"/><Relationship Id="rId16" Type="http://schemas.openxmlformats.org/officeDocument/2006/relationships/hyperlink" Target="https://www.utah.gov/education/colleges.html" TargetMode="External"/><Relationship Id="rId19" Type="http://schemas.openxmlformats.org/officeDocument/2006/relationships/hyperlink" Target="http://secondaryed.temp.washk12.org/academics/scholarships" TargetMode="External"/><Relationship Id="rId18" Type="http://schemas.openxmlformats.org/officeDocument/2006/relationships/hyperlink" Target="https://lendedu.com/blog/financial-aid-scholarships-student-loans-101-course" TargetMode="External"/></Relationships>
</file>